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C21" w:rsidRDefault="00855C21" w:rsidP="00855C21">
      <w:pPr>
        <w:pStyle w:val="Standard"/>
        <w:jc w:val="right"/>
        <w:rPr>
          <w:rFonts w:eastAsia="Andale Sans UI" w:cs="Times New Roman"/>
          <w:b/>
          <w:bCs/>
          <w:color w:val="000000"/>
        </w:rPr>
      </w:pPr>
      <w:r>
        <w:rPr>
          <w:rFonts w:eastAsia="Andale Sans UI" w:cs="Times New Roman"/>
          <w:b/>
          <w:bCs/>
          <w:color w:val="000000"/>
        </w:rPr>
        <w:t>Część nr 7</w:t>
      </w:r>
    </w:p>
    <w:p w:rsidR="00855C21" w:rsidRDefault="00855C21" w:rsidP="00855C21">
      <w:pPr>
        <w:pStyle w:val="Standard"/>
        <w:jc w:val="right"/>
        <w:rPr>
          <w:rFonts w:cs="Times New Roman"/>
          <w:b/>
          <w:color w:val="000000"/>
          <w:sz w:val="22"/>
        </w:rPr>
      </w:pPr>
    </w:p>
    <w:p w:rsidR="00855C21" w:rsidRDefault="00855C21" w:rsidP="00855C21">
      <w:pPr>
        <w:pStyle w:val="Standard"/>
        <w:jc w:val="right"/>
        <w:rPr>
          <w:rFonts w:cs="Times New Roman"/>
          <w:b/>
          <w:color w:val="000000"/>
          <w:sz w:val="22"/>
          <w:u w:val="single"/>
        </w:rPr>
      </w:pPr>
      <w:r>
        <w:rPr>
          <w:rFonts w:cs="Times New Roman"/>
          <w:b/>
          <w:color w:val="000000"/>
          <w:sz w:val="22"/>
        </w:rPr>
        <w:t>Załącznik nr 7.7 do SWZ</w:t>
      </w:r>
    </w:p>
    <w:p w:rsidR="00855C21" w:rsidRPr="002171B7" w:rsidRDefault="00855C21" w:rsidP="00855C21">
      <w:pPr>
        <w:pStyle w:val="Standard"/>
        <w:rPr>
          <w:rFonts w:cs="Times New Roman"/>
          <w:color w:val="000000"/>
          <w:sz w:val="20"/>
          <w:szCs w:val="20"/>
        </w:rPr>
      </w:pPr>
      <w:r w:rsidRPr="002171B7">
        <w:rPr>
          <w:rFonts w:cs="Times New Roman"/>
          <w:color w:val="000000"/>
          <w:sz w:val="20"/>
          <w:szCs w:val="20"/>
        </w:rPr>
        <w:t>Sygn. postępowania ZZ-2380-</w:t>
      </w:r>
      <w:r w:rsidR="005842EE">
        <w:rPr>
          <w:rFonts w:cs="Times New Roman"/>
          <w:color w:val="000000"/>
          <w:sz w:val="20"/>
          <w:szCs w:val="20"/>
        </w:rPr>
        <w:t>28</w:t>
      </w:r>
      <w:bookmarkStart w:id="0" w:name="_GoBack"/>
      <w:bookmarkEnd w:id="0"/>
      <w:r w:rsidRPr="002171B7">
        <w:rPr>
          <w:rFonts w:cs="Times New Roman"/>
          <w:color w:val="000000"/>
          <w:sz w:val="20"/>
          <w:szCs w:val="20"/>
        </w:rPr>
        <w:t>/2</w:t>
      </w:r>
      <w:r>
        <w:rPr>
          <w:rFonts w:cs="Times New Roman"/>
          <w:color w:val="000000"/>
          <w:sz w:val="20"/>
          <w:szCs w:val="20"/>
        </w:rPr>
        <w:t>5</w:t>
      </w:r>
    </w:p>
    <w:p w:rsidR="007334BC" w:rsidRDefault="007334BC">
      <w:pPr>
        <w:pStyle w:val="Standard"/>
        <w:jc w:val="both"/>
        <w:rPr>
          <w:rFonts w:cs="Times New Roman"/>
          <w:b/>
          <w:color w:val="000000"/>
          <w:u w:val="single"/>
        </w:rPr>
      </w:pPr>
    </w:p>
    <w:p w:rsidR="007334BC" w:rsidRDefault="007334BC">
      <w:pPr>
        <w:pStyle w:val="Standard"/>
        <w:jc w:val="center"/>
        <w:rPr>
          <w:rFonts w:cs="Times New Roman"/>
          <w:b/>
          <w:color w:val="000000"/>
        </w:rPr>
      </w:pPr>
    </w:p>
    <w:p w:rsidR="007334BC" w:rsidRDefault="00855C21">
      <w:pPr>
        <w:pStyle w:val="Standard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KRYTERIA OCENY OFERT</w:t>
      </w:r>
    </w:p>
    <w:p w:rsidR="007334BC" w:rsidRDefault="007334BC">
      <w:pPr>
        <w:pStyle w:val="Standard"/>
        <w:jc w:val="both"/>
        <w:rPr>
          <w:rFonts w:cs="Times New Roman"/>
          <w:b/>
          <w:color w:val="000000"/>
          <w:u w:val="single"/>
        </w:rPr>
      </w:pPr>
    </w:p>
    <w:p w:rsidR="007334BC" w:rsidRDefault="00855C21">
      <w:pPr>
        <w:pStyle w:val="Standard"/>
        <w:jc w:val="center"/>
        <w:rPr>
          <w:rFonts w:cs="Times New Roman"/>
        </w:rPr>
      </w:pPr>
      <w:r>
        <w:rPr>
          <w:rFonts w:eastAsia="Andale Sans UI" w:cs="Times New Roman"/>
          <w:b/>
          <w:bCs/>
          <w:color w:val="000000"/>
        </w:rPr>
        <w:t>Dostawa klastra do wirtualizacji</w:t>
      </w:r>
    </w:p>
    <w:p w:rsidR="007334BC" w:rsidRDefault="007334BC">
      <w:pPr>
        <w:pStyle w:val="Standard"/>
        <w:jc w:val="both"/>
        <w:rPr>
          <w:rFonts w:cs="Times New Roman"/>
          <w:b/>
          <w:color w:val="000000"/>
          <w:u w:val="single"/>
        </w:rPr>
      </w:pPr>
    </w:p>
    <w:p w:rsidR="007334BC" w:rsidRDefault="007334BC">
      <w:pPr>
        <w:pStyle w:val="Standard"/>
        <w:spacing w:line="360" w:lineRule="auto"/>
        <w:jc w:val="both"/>
        <w:rPr>
          <w:rFonts w:cs="Times New Roman"/>
          <w:b/>
          <w:color w:val="000000"/>
        </w:rPr>
      </w:pPr>
    </w:p>
    <w:p w:rsidR="007334BC" w:rsidRDefault="00855C21">
      <w:pPr>
        <w:pStyle w:val="Standard"/>
        <w:spacing w:line="360" w:lineRule="auto"/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Opis kryteriów, którymi Zamawiający będzie się kierował przy wyborze oferty</w:t>
      </w:r>
      <w:r>
        <w:rPr>
          <w:rFonts w:cs="Times New Roman"/>
          <w:b/>
          <w:color w:val="000000"/>
        </w:rPr>
        <w:br/>
        <w:t>wraz z podaniem sposobu oceny ofert</w:t>
      </w:r>
    </w:p>
    <w:p w:rsidR="007334BC" w:rsidRDefault="007334BC">
      <w:pPr>
        <w:pStyle w:val="Standard"/>
        <w:spacing w:line="360" w:lineRule="auto"/>
        <w:rPr>
          <w:rFonts w:cs="Times New Roman"/>
          <w:b/>
          <w:color w:val="000000"/>
          <w:u w:val="single"/>
        </w:rPr>
      </w:pPr>
    </w:p>
    <w:p w:rsidR="007334BC" w:rsidRDefault="00855C21">
      <w:pPr>
        <w:pStyle w:val="Standard"/>
        <w:shd w:val="clear" w:color="auto" w:fill="FFFFFF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Przy dokonywaniu wyboru najkorzystniejszej oferty Zamawiający stosować będzie następujące kryteria oceny ofert:</w:t>
      </w:r>
    </w:p>
    <w:p w:rsidR="007334BC" w:rsidRDefault="007334BC">
      <w:pPr>
        <w:pStyle w:val="Standard"/>
        <w:rPr>
          <w:rFonts w:cs="Times New Roman"/>
          <w:b/>
          <w:color w:val="000000"/>
        </w:rPr>
      </w:pPr>
    </w:p>
    <w:tbl>
      <w:tblPr>
        <w:tblW w:w="9450" w:type="dxa"/>
        <w:tblInd w:w="234" w:type="dxa"/>
        <w:tblLayout w:type="fixed"/>
        <w:tblLook w:val="0000" w:firstRow="0" w:lastRow="0" w:firstColumn="0" w:lastColumn="0" w:noHBand="0" w:noVBand="0"/>
      </w:tblPr>
      <w:tblGrid>
        <w:gridCol w:w="2310"/>
        <w:gridCol w:w="3961"/>
        <w:gridCol w:w="945"/>
        <w:gridCol w:w="2234"/>
      </w:tblGrid>
      <w:tr w:rsidR="007334BC"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4BC" w:rsidRDefault="00855C21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Nazwa kryterium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4BC" w:rsidRDefault="00855C21">
            <w:pPr>
              <w:pStyle w:val="Standard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Kryteria przyznawania punktów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4BC" w:rsidRDefault="00855C21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Waga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BC" w:rsidRDefault="00855C21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Sposób oceny</w:t>
            </w:r>
          </w:p>
        </w:tc>
      </w:tr>
      <w:tr w:rsidR="007334BC">
        <w:trPr>
          <w:trHeight w:val="674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34BC" w:rsidRDefault="00855C2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K1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34BC" w:rsidRDefault="00855C21">
            <w:pPr>
              <w:pStyle w:val="Standard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Cena oferty brutto całości przedmiotu zamówienia.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34BC" w:rsidRDefault="00855C2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BC" w:rsidRDefault="00855C2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Minimalizacja</w:t>
            </w:r>
          </w:p>
        </w:tc>
      </w:tr>
      <w:tr w:rsidR="007334BC">
        <w:trPr>
          <w:trHeight w:val="1020"/>
        </w:trPr>
        <w:tc>
          <w:tcPr>
            <w:tcW w:w="23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34BC" w:rsidRDefault="00855C2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K2</w:t>
            </w:r>
          </w:p>
        </w:tc>
        <w:tc>
          <w:tcPr>
            <w:tcW w:w="39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34BC" w:rsidRDefault="00855C21">
            <w:pPr>
              <w:pStyle w:val="Standard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Nośniki Flash </w:t>
            </w:r>
            <w:proofErr w:type="spellStart"/>
            <w:r>
              <w:rPr>
                <w:rFonts w:cs="Times New Roman"/>
                <w:color w:val="000000"/>
              </w:rPr>
              <w:t>NVMe</w:t>
            </w:r>
            <w:proofErr w:type="spellEnd"/>
            <w:r>
              <w:rPr>
                <w:rFonts w:cs="Times New Roman"/>
                <w:color w:val="000000"/>
              </w:rPr>
              <w:t xml:space="preserve"> w macierzy odporne na awarię całego </w:t>
            </w:r>
            <w:proofErr w:type="spellStart"/>
            <w:r>
              <w:rPr>
                <w:rFonts w:cs="Times New Roman"/>
                <w:color w:val="000000"/>
              </w:rPr>
              <w:t>chip’a</w:t>
            </w:r>
            <w:proofErr w:type="spellEnd"/>
            <w:r>
              <w:rPr>
                <w:rFonts w:cs="Times New Roman"/>
                <w:color w:val="000000"/>
              </w:rPr>
              <w:t xml:space="preserve"> w ramach </w:t>
            </w:r>
            <w:proofErr w:type="spellStart"/>
            <w:r>
              <w:rPr>
                <w:rFonts w:cs="Times New Roman"/>
                <w:color w:val="000000"/>
              </w:rPr>
              <w:t>pojedyńczego</w:t>
            </w:r>
            <w:proofErr w:type="spellEnd"/>
            <w:r>
              <w:rPr>
                <w:rFonts w:cs="Times New Roman"/>
                <w:color w:val="000000"/>
              </w:rPr>
              <w:t xml:space="preserve"> nośnika.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34BC" w:rsidRDefault="00855C2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BC" w:rsidRDefault="00855C2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Maksymalizacja</w:t>
            </w:r>
          </w:p>
        </w:tc>
      </w:tr>
      <w:tr w:rsidR="007334BC">
        <w:trPr>
          <w:trHeight w:val="692"/>
        </w:trPr>
        <w:tc>
          <w:tcPr>
            <w:tcW w:w="23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34BC" w:rsidRDefault="00855C2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K3</w:t>
            </w:r>
          </w:p>
        </w:tc>
        <w:tc>
          <w:tcPr>
            <w:tcW w:w="39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34BC" w:rsidRDefault="00855C21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Wbudowane mechanizmy detekcji ataków typu </w:t>
            </w:r>
            <w:proofErr w:type="spellStart"/>
            <w:r>
              <w:rPr>
                <w:rFonts w:cs="Times New Roman"/>
                <w:color w:val="000000"/>
              </w:rPr>
              <w:t>ransomware</w:t>
            </w:r>
            <w:proofErr w:type="spellEnd"/>
            <w:r>
              <w:rPr>
                <w:rFonts w:cs="Times New Roman"/>
                <w:color w:val="000000"/>
              </w:rPr>
              <w:t xml:space="preserve"> w macierzy.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34BC" w:rsidRDefault="00855C2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4BC" w:rsidRDefault="00855C2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t>Maksymalizacja</w:t>
            </w:r>
          </w:p>
        </w:tc>
      </w:tr>
    </w:tbl>
    <w:p w:rsidR="007334BC" w:rsidRDefault="007334BC">
      <w:pPr>
        <w:pStyle w:val="Standard"/>
        <w:rPr>
          <w:rFonts w:cs="Times New Roman"/>
          <w:b/>
          <w:color w:val="000000"/>
        </w:rPr>
      </w:pPr>
    </w:p>
    <w:p w:rsidR="007334BC" w:rsidRDefault="007334BC">
      <w:pPr>
        <w:pStyle w:val="BodyText21"/>
        <w:tabs>
          <w:tab w:val="left" w:pos="326"/>
        </w:tabs>
        <w:ind w:left="-10"/>
        <w:rPr>
          <w:rFonts w:cs="Times New Roman"/>
          <w:b/>
          <w:color w:val="000000"/>
        </w:rPr>
      </w:pPr>
    </w:p>
    <w:p w:rsidR="007334BC" w:rsidRDefault="00855C21">
      <w:pPr>
        <w:pStyle w:val="BodyText21"/>
        <w:tabs>
          <w:tab w:val="left" w:pos="326"/>
        </w:tabs>
        <w:ind w:left="-10"/>
      </w:pPr>
      <w:r>
        <w:rPr>
          <w:rFonts w:cs="Times New Roman"/>
          <w:b/>
          <w:color w:val="000000"/>
        </w:rPr>
        <w:t>Sposób obliczenia punktów w odniesieniu do kryterium K1 – Cena oferty brutto całości przedmiotu zamówienia:</w:t>
      </w:r>
    </w:p>
    <w:p w:rsidR="007334BC" w:rsidRDefault="007334BC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</w:p>
    <w:p w:rsidR="007334BC" w:rsidRDefault="00855C21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  <w:r>
        <w:rPr>
          <w:rFonts w:cs="Times New Roman"/>
          <w:color w:val="000000"/>
        </w:rPr>
        <w:t>K1 – waga 60 % (maksymalnie Wykonawca może otrzymać 60 punktów)</w:t>
      </w:r>
    </w:p>
    <w:p w:rsidR="007334BC" w:rsidRDefault="007334BC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</w:p>
    <w:p w:rsidR="007334BC" w:rsidRDefault="00855C21">
      <w:pPr>
        <w:pStyle w:val="BodyText21"/>
        <w:tabs>
          <w:tab w:val="left" w:pos="326"/>
        </w:tabs>
        <w:ind w:left="-10"/>
        <w:jc w:val="center"/>
        <w:rPr>
          <w:rFonts w:cs="Times New Roman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K1=60×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oferty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pkt</m:t>
          </m:r>
        </m:oMath>
      </m:oMathPara>
    </w:p>
    <w:p w:rsidR="007334BC" w:rsidRDefault="00855C21">
      <w:pPr>
        <w:pStyle w:val="Standard"/>
        <w:tabs>
          <w:tab w:val="left" w:pos="57"/>
          <w:tab w:val="left" w:pos="341"/>
        </w:tabs>
        <w:ind w:left="57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>gdzie:</w:t>
      </w:r>
    </w:p>
    <w:p w:rsidR="007334BC" w:rsidRDefault="00855C21">
      <w:pPr>
        <w:pStyle w:val="Standard"/>
        <w:tabs>
          <w:tab w:val="left" w:pos="355"/>
          <w:tab w:val="left" w:pos="639"/>
        </w:tabs>
        <w:ind w:left="355" w:hanging="336"/>
        <w:rPr>
          <w:rFonts w:cs="Times New Roman"/>
        </w:rPr>
      </w:pPr>
      <w:r>
        <w:rPr>
          <w:rFonts w:eastAsia="Andale Sans UI" w:cs="Times New Roman"/>
          <w:i/>
          <w:iCs/>
          <w:color w:val="000000"/>
        </w:rPr>
        <w:t xml:space="preserve">CG min – </w:t>
      </w:r>
      <w:r>
        <w:rPr>
          <w:rFonts w:eastAsia="Andale Sans UI" w:cs="Times New Roman"/>
          <w:color w:val="000000"/>
        </w:rPr>
        <w:t xml:space="preserve">oznacza najniższą cenę </w:t>
      </w:r>
      <w:r>
        <w:rPr>
          <w:rFonts w:eastAsia="Andale Sans UI" w:cs="Times New Roman"/>
        </w:rPr>
        <w:t>spośród badanych ofert</w:t>
      </w:r>
      <w:r>
        <w:rPr>
          <w:rFonts w:eastAsia="Andale Sans UI" w:cs="Times New Roman"/>
          <w:color w:val="000000"/>
        </w:rPr>
        <w:t>,</w:t>
      </w:r>
    </w:p>
    <w:p w:rsidR="007334BC" w:rsidRDefault="00855C21">
      <w:pPr>
        <w:pStyle w:val="Standard"/>
        <w:tabs>
          <w:tab w:val="left" w:pos="355"/>
          <w:tab w:val="left" w:pos="639"/>
        </w:tabs>
        <w:ind w:left="355" w:hanging="336"/>
        <w:rPr>
          <w:rFonts w:cs="Times New Roman"/>
        </w:rPr>
      </w:pPr>
      <w:r>
        <w:rPr>
          <w:rFonts w:eastAsia="Andale Sans UI" w:cs="Times New Roman"/>
          <w:i/>
          <w:iCs/>
          <w:color w:val="000000"/>
        </w:rPr>
        <w:t>CG oferty</w:t>
      </w:r>
      <w:r>
        <w:rPr>
          <w:rFonts w:eastAsia="Andale Sans UI" w:cs="Times New Roman"/>
          <w:color w:val="000000"/>
        </w:rPr>
        <w:t xml:space="preserve"> – oznacza cenę oferty badanej,</w:t>
      </w:r>
    </w:p>
    <w:p w:rsidR="007334BC" w:rsidRDefault="007334BC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</w:rPr>
      </w:pPr>
    </w:p>
    <w:p w:rsidR="007334BC" w:rsidRDefault="007334BC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</w:rPr>
      </w:pPr>
    </w:p>
    <w:p w:rsidR="007334BC" w:rsidRDefault="007334BC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</w:rPr>
      </w:pPr>
    </w:p>
    <w:p w:rsidR="007334BC" w:rsidRDefault="007334BC">
      <w:pPr>
        <w:pStyle w:val="Standard"/>
        <w:tabs>
          <w:tab w:val="left" w:pos="691"/>
        </w:tabs>
        <w:jc w:val="both"/>
        <w:rPr>
          <w:rFonts w:cs="Times New Roman"/>
          <w:b/>
          <w:color w:val="000000"/>
        </w:rPr>
      </w:pPr>
    </w:p>
    <w:p w:rsidR="007334BC" w:rsidRDefault="00855C21">
      <w:pPr>
        <w:pStyle w:val="Standard"/>
        <w:tabs>
          <w:tab w:val="left" w:pos="691"/>
        </w:tabs>
        <w:jc w:val="both"/>
      </w:pPr>
      <w:r>
        <w:rPr>
          <w:rFonts w:cs="Times New Roman"/>
          <w:b/>
          <w:color w:val="000000"/>
        </w:rPr>
        <w:t xml:space="preserve">Sposób obliczenia punktów w odniesieniu do kryterium K2 – Nośniki Flash </w:t>
      </w:r>
      <w:proofErr w:type="spellStart"/>
      <w:r>
        <w:rPr>
          <w:rFonts w:cs="Times New Roman"/>
          <w:b/>
          <w:color w:val="000000"/>
        </w:rPr>
        <w:t>NVMe</w:t>
      </w:r>
      <w:proofErr w:type="spellEnd"/>
      <w:r>
        <w:rPr>
          <w:rFonts w:cs="Times New Roman"/>
          <w:b/>
          <w:color w:val="000000"/>
        </w:rPr>
        <w:t xml:space="preserve"> w macierzy odporne na awarię całego </w:t>
      </w:r>
      <w:proofErr w:type="spellStart"/>
      <w:r>
        <w:rPr>
          <w:rFonts w:cs="Times New Roman"/>
          <w:b/>
          <w:color w:val="000000"/>
        </w:rPr>
        <w:t>chip’a</w:t>
      </w:r>
      <w:proofErr w:type="spellEnd"/>
      <w:r>
        <w:rPr>
          <w:rFonts w:cs="Times New Roman"/>
          <w:b/>
          <w:color w:val="000000"/>
        </w:rPr>
        <w:t xml:space="preserve"> w ramach </w:t>
      </w:r>
      <w:proofErr w:type="spellStart"/>
      <w:r>
        <w:rPr>
          <w:rFonts w:cs="Times New Roman"/>
          <w:b/>
          <w:color w:val="000000"/>
        </w:rPr>
        <w:t>pojedyńczego</w:t>
      </w:r>
      <w:proofErr w:type="spellEnd"/>
      <w:r>
        <w:rPr>
          <w:rFonts w:cs="Times New Roman"/>
          <w:b/>
          <w:color w:val="000000"/>
        </w:rPr>
        <w:t xml:space="preserve"> nośnika.</w:t>
      </w:r>
    </w:p>
    <w:p w:rsidR="007334BC" w:rsidRDefault="007334BC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</w:rPr>
      </w:pPr>
    </w:p>
    <w:p w:rsidR="007334BC" w:rsidRDefault="00855C2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K2 – waga 20 % (maksymalnie Wykonawca może otrzymać 20 punktów)</w:t>
      </w:r>
    </w:p>
    <w:p w:rsidR="007334BC" w:rsidRDefault="007334BC">
      <w:pPr>
        <w:pStyle w:val="Standard"/>
        <w:tabs>
          <w:tab w:val="left" w:pos="691"/>
        </w:tabs>
        <w:ind w:left="355" w:hanging="336"/>
        <w:jc w:val="center"/>
        <w:rPr>
          <w:rFonts w:cs="Times New Roman"/>
          <w:color w:val="000000"/>
        </w:rPr>
      </w:pPr>
    </w:p>
    <w:p w:rsidR="007334BC" w:rsidRDefault="00855C21">
      <w:pPr>
        <w:pStyle w:val="Standard"/>
        <w:tabs>
          <w:tab w:val="left" w:pos="691"/>
        </w:tabs>
        <w:spacing w:line="360" w:lineRule="auto"/>
        <w:ind w:left="355" w:hanging="336"/>
        <w:rPr>
          <w:rFonts w:cs="Times New Roman"/>
        </w:rPr>
      </w:pPr>
      <w:r>
        <w:rPr>
          <w:rFonts w:cs="Times New Roman"/>
          <w:color w:val="000000"/>
        </w:rPr>
        <w:t>W kryterium K2 punkty</w:t>
      </w:r>
      <w:r>
        <w:rPr>
          <w:rFonts w:cs="Times New Roman"/>
          <w:b/>
          <w:color w:val="000000"/>
        </w:rPr>
        <w:t xml:space="preserve"> </w:t>
      </w:r>
      <w:r>
        <w:rPr>
          <w:rFonts w:cs="Times New Roman"/>
          <w:color w:val="000000"/>
        </w:rPr>
        <w:t>zostaną przydzielone następująco:</w:t>
      </w:r>
    </w:p>
    <w:p w:rsidR="007334BC" w:rsidRDefault="00855C21">
      <w:pPr>
        <w:pStyle w:val="Standard"/>
        <w:numPr>
          <w:ilvl w:val="0"/>
          <w:numId w:val="1"/>
        </w:numPr>
        <w:tabs>
          <w:tab w:val="left" w:pos="-1590"/>
          <w:tab w:val="left" w:pos="-1306"/>
          <w:tab w:val="left" w:pos="-795"/>
        </w:tabs>
        <w:spacing w:line="360" w:lineRule="auto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lastRenderedPageBreak/>
        <w:t xml:space="preserve">0 pkt – oferowane nośniki Flash </w:t>
      </w:r>
      <w:proofErr w:type="spellStart"/>
      <w:r>
        <w:rPr>
          <w:rFonts w:eastAsia="Andale Sans UI" w:cs="Times New Roman"/>
          <w:color w:val="000000"/>
        </w:rPr>
        <w:t>NVMe</w:t>
      </w:r>
      <w:proofErr w:type="spellEnd"/>
      <w:r>
        <w:rPr>
          <w:rFonts w:eastAsia="Andale Sans UI" w:cs="Times New Roman"/>
          <w:color w:val="000000"/>
        </w:rPr>
        <w:t xml:space="preserve"> nie posiadają wskazanej funkcjonalności</w:t>
      </w:r>
    </w:p>
    <w:p w:rsidR="007334BC" w:rsidRDefault="00855C21">
      <w:pPr>
        <w:pStyle w:val="Standard"/>
        <w:numPr>
          <w:ilvl w:val="0"/>
          <w:numId w:val="5"/>
        </w:numPr>
        <w:tabs>
          <w:tab w:val="left" w:pos="-1590"/>
          <w:tab w:val="left" w:pos="-1306"/>
          <w:tab w:val="left" w:pos="-795"/>
        </w:tabs>
        <w:spacing w:line="360" w:lineRule="auto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 xml:space="preserve">20 pkt – oferowane nośniki Flash </w:t>
      </w:r>
      <w:proofErr w:type="spellStart"/>
      <w:r>
        <w:rPr>
          <w:rFonts w:eastAsia="Andale Sans UI" w:cs="Times New Roman"/>
          <w:color w:val="000000"/>
        </w:rPr>
        <w:t>NVMe</w:t>
      </w:r>
      <w:proofErr w:type="spellEnd"/>
      <w:r>
        <w:rPr>
          <w:rFonts w:eastAsia="Andale Sans UI" w:cs="Times New Roman"/>
          <w:color w:val="000000"/>
        </w:rPr>
        <w:t xml:space="preserve"> posiadają wskazaną funkcjonalność.</w:t>
      </w:r>
    </w:p>
    <w:p w:rsidR="007334BC" w:rsidRDefault="007334BC">
      <w:pPr>
        <w:pStyle w:val="Standard"/>
        <w:tabs>
          <w:tab w:val="left" w:pos="-1590"/>
          <w:tab w:val="left" w:pos="-1306"/>
          <w:tab w:val="left" w:pos="-795"/>
        </w:tabs>
        <w:spacing w:line="360" w:lineRule="auto"/>
        <w:ind w:left="795"/>
        <w:jc w:val="both"/>
        <w:rPr>
          <w:rFonts w:cs="Times New Roman"/>
        </w:rPr>
      </w:pPr>
    </w:p>
    <w:p w:rsidR="007334BC" w:rsidRDefault="007334BC">
      <w:pPr>
        <w:pStyle w:val="Standard"/>
        <w:tabs>
          <w:tab w:val="left" w:pos="355"/>
          <w:tab w:val="left" w:pos="639"/>
        </w:tabs>
        <w:spacing w:line="360" w:lineRule="auto"/>
        <w:ind w:left="355" w:hanging="336"/>
        <w:jc w:val="both"/>
        <w:rPr>
          <w:rFonts w:eastAsia="Andale Sans UI" w:cs="Times New Roman"/>
          <w:color w:val="000000"/>
        </w:rPr>
      </w:pPr>
    </w:p>
    <w:p w:rsidR="007334BC" w:rsidRDefault="00855C21">
      <w:pPr>
        <w:tabs>
          <w:tab w:val="left" w:pos="0"/>
          <w:tab w:val="left" w:pos="284"/>
        </w:tabs>
        <w:spacing w:line="360" w:lineRule="auto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 xml:space="preserve">Aby kryterium K2 zostało spełnione każdy nośnik Flash </w:t>
      </w:r>
      <w:proofErr w:type="spellStart"/>
      <w:r>
        <w:rPr>
          <w:rFonts w:eastAsia="Andale Sans UI" w:cs="Times New Roman"/>
          <w:color w:val="000000"/>
        </w:rPr>
        <w:t>NVMe</w:t>
      </w:r>
      <w:proofErr w:type="spellEnd"/>
      <w:r>
        <w:rPr>
          <w:rFonts w:eastAsia="Andale Sans UI" w:cs="Times New Roman"/>
          <w:color w:val="000000"/>
        </w:rPr>
        <w:t xml:space="preserve"> w oferowanej przez Wykonawcę macierzy musi być odporny na awarię całego </w:t>
      </w:r>
      <w:proofErr w:type="spellStart"/>
      <w:r>
        <w:rPr>
          <w:rFonts w:eastAsia="Andale Sans UI" w:cs="Times New Roman"/>
          <w:color w:val="000000"/>
        </w:rPr>
        <w:t>chip’a</w:t>
      </w:r>
      <w:proofErr w:type="spellEnd"/>
      <w:r>
        <w:rPr>
          <w:rFonts w:eastAsia="Andale Sans UI" w:cs="Times New Roman"/>
          <w:color w:val="000000"/>
        </w:rPr>
        <w:t xml:space="preserve"> w ramach pojedynczego nośnika. Awaria całego </w:t>
      </w:r>
      <w:proofErr w:type="spellStart"/>
      <w:r>
        <w:rPr>
          <w:rFonts w:eastAsia="Andale Sans UI" w:cs="Times New Roman"/>
          <w:color w:val="000000"/>
        </w:rPr>
        <w:t>chip’a</w:t>
      </w:r>
      <w:proofErr w:type="spellEnd"/>
      <w:r>
        <w:rPr>
          <w:rFonts w:eastAsia="Andale Sans UI" w:cs="Times New Roman"/>
          <w:color w:val="000000"/>
        </w:rPr>
        <w:t xml:space="preserve"> (pierwszego) nie może powodować wyłączenia nośnika. Za spełnienie wymogu Zamawiający uznaje odporność nośnika na awarię jednego lub więcej chipa pamięci NAND Flash, a nie jego części składowej (np. </w:t>
      </w:r>
      <w:proofErr w:type="spellStart"/>
      <w:r>
        <w:rPr>
          <w:rFonts w:eastAsia="Andale Sans UI" w:cs="Times New Roman"/>
          <w:color w:val="000000"/>
        </w:rPr>
        <w:t>die</w:t>
      </w:r>
      <w:proofErr w:type="spellEnd"/>
      <w:r>
        <w:rPr>
          <w:rFonts w:eastAsia="Andale Sans UI" w:cs="Times New Roman"/>
          <w:color w:val="000000"/>
        </w:rPr>
        <w:t xml:space="preserve">, </w:t>
      </w:r>
      <w:proofErr w:type="spellStart"/>
      <w:r>
        <w:rPr>
          <w:rFonts w:eastAsia="Andale Sans UI" w:cs="Times New Roman"/>
          <w:color w:val="000000"/>
        </w:rPr>
        <w:t>block</w:t>
      </w:r>
      <w:proofErr w:type="spellEnd"/>
      <w:r>
        <w:rPr>
          <w:rFonts w:eastAsia="Andale Sans UI" w:cs="Times New Roman"/>
          <w:color w:val="000000"/>
        </w:rPr>
        <w:t xml:space="preserve">, </w:t>
      </w:r>
      <w:proofErr w:type="spellStart"/>
      <w:r>
        <w:rPr>
          <w:rFonts w:eastAsia="Andale Sans UI" w:cs="Times New Roman"/>
          <w:color w:val="000000"/>
        </w:rPr>
        <w:t>page</w:t>
      </w:r>
      <w:proofErr w:type="spellEnd"/>
      <w:r>
        <w:rPr>
          <w:rFonts w:eastAsia="Andale Sans UI" w:cs="Times New Roman"/>
          <w:color w:val="000000"/>
        </w:rPr>
        <w:t xml:space="preserve">). </w:t>
      </w:r>
    </w:p>
    <w:p w:rsidR="007334BC" w:rsidRDefault="007334BC">
      <w:pPr>
        <w:tabs>
          <w:tab w:val="left" w:pos="0"/>
          <w:tab w:val="left" w:pos="284"/>
        </w:tabs>
        <w:spacing w:line="360" w:lineRule="auto"/>
        <w:jc w:val="both"/>
        <w:rPr>
          <w:rFonts w:cs="Times New Roman"/>
        </w:rPr>
      </w:pPr>
    </w:p>
    <w:p w:rsidR="007334BC" w:rsidRDefault="00855C21">
      <w:pPr>
        <w:tabs>
          <w:tab w:val="left" w:pos="0"/>
          <w:tab w:val="left" w:pos="284"/>
        </w:tabs>
        <w:spacing w:line="360" w:lineRule="auto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 xml:space="preserve">W przypadku braku informacji dotyczącej spełnienia kryterium K2 Zamawiający przyjmie, że Wykonawca oferuje nośniki Flash </w:t>
      </w:r>
      <w:proofErr w:type="spellStart"/>
      <w:r>
        <w:rPr>
          <w:rFonts w:eastAsia="Andale Sans UI" w:cs="Times New Roman"/>
          <w:color w:val="000000"/>
        </w:rPr>
        <w:t>NVMe</w:t>
      </w:r>
      <w:proofErr w:type="spellEnd"/>
      <w:r>
        <w:rPr>
          <w:rFonts w:eastAsia="Andale Sans UI" w:cs="Times New Roman"/>
          <w:color w:val="000000"/>
        </w:rPr>
        <w:t xml:space="preserve"> bez wskazanej funkcjonalności i przyzna 0 punktów.</w:t>
      </w:r>
    </w:p>
    <w:p w:rsidR="007334BC" w:rsidRDefault="007334BC">
      <w:pPr>
        <w:pStyle w:val="Standard"/>
        <w:tabs>
          <w:tab w:val="left" w:pos="0"/>
          <w:tab w:val="left" w:pos="284"/>
        </w:tabs>
        <w:spacing w:line="360" w:lineRule="auto"/>
        <w:ind w:firstLine="19"/>
        <w:jc w:val="both"/>
        <w:rPr>
          <w:rFonts w:eastAsia="Andale Sans UI" w:cs="Times New Roman"/>
          <w:b/>
          <w:color w:val="000000"/>
        </w:rPr>
      </w:pPr>
    </w:p>
    <w:p w:rsidR="007334BC" w:rsidRDefault="00855C21">
      <w:pPr>
        <w:pStyle w:val="Standard"/>
        <w:tabs>
          <w:tab w:val="left" w:pos="691"/>
        </w:tabs>
        <w:jc w:val="both"/>
      </w:pPr>
      <w:r>
        <w:rPr>
          <w:rFonts w:cs="Times New Roman"/>
          <w:b/>
          <w:color w:val="000000"/>
        </w:rPr>
        <w:t xml:space="preserve">Sposób obliczenia punktów w odniesieniu do kryterium K3 – Wbudowane mechanizmy detekcji ataków typu </w:t>
      </w:r>
      <w:proofErr w:type="spellStart"/>
      <w:r>
        <w:rPr>
          <w:rFonts w:cs="Times New Roman"/>
          <w:b/>
          <w:color w:val="000000"/>
        </w:rPr>
        <w:t>ransomware</w:t>
      </w:r>
      <w:proofErr w:type="spellEnd"/>
      <w:r>
        <w:rPr>
          <w:rFonts w:cs="Times New Roman"/>
          <w:b/>
          <w:color w:val="000000"/>
        </w:rPr>
        <w:t xml:space="preserve"> w macierzy.</w:t>
      </w:r>
    </w:p>
    <w:p w:rsidR="007334BC" w:rsidRDefault="007334BC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</w:rPr>
      </w:pPr>
    </w:p>
    <w:p w:rsidR="007334BC" w:rsidRDefault="00855C2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K3 – waga 20 % (maksymalnie Wykonawca może otrzymać 20 punktów)</w:t>
      </w:r>
    </w:p>
    <w:p w:rsidR="007334BC" w:rsidRDefault="007334BC">
      <w:pPr>
        <w:pStyle w:val="Standard"/>
        <w:tabs>
          <w:tab w:val="left" w:pos="691"/>
        </w:tabs>
        <w:ind w:left="355" w:hanging="336"/>
        <w:jc w:val="center"/>
        <w:rPr>
          <w:rFonts w:cs="Times New Roman"/>
          <w:color w:val="000000"/>
        </w:rPr>
      </w:pPr>
    </w:p>
    <w:p w:rsidR="007334BC" w:rsidRDefault="00855C21">
      <w:pPr>
        <w:pStyle w:val="Standard"/>
        <w:tabs>
          <w:tab w:val="left" w:pos="691"/>
        </w:tabs>
        <w:spacing w:line="360" w:lineRule="auto"/>
        <w:ind w:left="355" w:hanging="336"/>
        <w:rPr>
          <w:rFonts w:cs="Times New Roman"/>
        </w:rPr>
      </w:pPr>
      <w:r>
        <w:rPr>
          <w:rFonts w:cs="Times New Roman"/>
          <w:color w:val="000000"/>
        </w:rPr>
        <w:t>W kryterium K3 punkty</w:t>
      </w:r>
      <w:r>
        <w:rPr>
          <w:rFonts w:cs="Times New Roman"/>
          <w:b/>
          <w:color w:val="000000"/>
        </w:rPr>
        <w:t xml:space="preserve"> </w:t>
      </w:r>
      <w:r>
        <w:rPr>
          <w:rFonts w:cs="Times New Roman"/>
          <w:color w:val="000000"/>
        </w:rPr>
        <w:t>zostaną przydzielone następująco:</w:t>
      </w:r>
    </w:p>
    <w:p w:rsidR="007334BC" w:rsidRDefault="00855C21">
      <w:pPr>
        <w:pStyle w:val="Standard"/>
        <w:numPr>
          <w:ilvl w:val="0"/>
          <w:numId w:val="1"/>
        </w:numPr>
        <w:tabs>
          <w:tab w:val="left" w:pos="-1590"/>
          <w:tab w:val="left" w:pos="-1306"/>
          <w:tab w:val="left" w:pos="-795"/>
        </w:tabs>
        <w:spacing w:line="360" w:lineRule="auto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 xml:space="preserve">0 pkt – oferowana macierz nie posiada wbudowanych mechanizmów detekcji ataków typu </w:t>
      </w:r>
      <w:proofErr w:type="spellStart"/>
      <w:r>
        <w:rPr>
          <w:rFonts w:eastAsia="Andale Sans UI" w:cs="Times New Roman"/>
          <w:color w:val="000000"/>
        </w:rPr>
        <w:t>ransomware</w:t>
      </w:r>
      <w:proofErr w:type="spellEnd"/>
    </w:p>
    <w:p w:rsidR="007334BC" w:rsidRDefault="00855C21">
      <w:pPr>
        <w:pStyle w:val="Standard"/>
        <w:numPr>
          <w:ilvl w:val="0"/>
          <w:numId w:val="6"/>
        </w:numPr>
        <w:tabs>
          <w:tab w:val="left" w:pos="-1590"/>
          <w:tab w:val="left" w:pos="-1306"/>
          <w:tab w:val="left" w:pos="-795"/>
        </w:tabs>
        <w:spacing w:line="360" w:lineRule="auto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 xml:space="preserve">20 pkt – oferowana macierz posiada wbudowane mechanizmy detekcji ataków typu </w:t>
      </w:r>
      <w:proofErr w:type="spellStart"/>
      <w:r>
        <w:rPr>
          <w:rFonts w:eastAsia="Andale Sans UI" w:cs="Times New Roman"/>
          <w:color w:val="000000"/>
        </w:rPr>
        <w:t>ransomware</w:t>
      </w:r>
      <w:proofErr w:type="spellEnd"/>
      <w:r>
        <w:rPr>
          <w:rFonts w:eastAsia="Andale Sans UI" w:cs="Times New Roman"/>
          <w:color w:val="000000"/>
        </w:rPr>
        <w:t>.</w:t>
      </w:r>
    </w:p>
    <w:p w:rsidR="007334BC" w:rsidRDefault="007334BC">
      <w:pPr>
        <w:pStyle w:val="Standard"/>
        <w:tabs>
          <w:tab w:val="left" w:pos="-1590"/>
          <w:tab w:val="left" w:pos="-1306"/>
          <w:tab w:val="left" w:pos="-795"/>
        </w:tabs>
        <w:spacing w:line="360" w:lineRule="auto"/>
        <w:ind w:left="795"/>
        <w:jc w:val="both"/>
        <w:rPr>
          <w:rFonts w:cs="Times New Roman"/>
        </w:rPr>
      </w:pPr>
    </w:p>
    <w:p w:rsidR="007334BC" w:rsidRDefault="00855C21">
      <w:pPr>
        <w:tabs>
          <w:tab w:val="left" w:pos="0"/>
          <w:tab w:val="left" w:pos="284"/>
        </w:tabs>
        <w:spacing w:line="360" w:lineRule="auto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 xml:space="preserve">Aby kryterium K3 zostało spełnione macierz oferowana przez Wykonawcę musi posiadać wbudowane mechanizmy detekcji ataków typu </w:t>
      </w:r>
      <w:proofErr w:type="spellStart"/>
      <w:r>
        <w:rPr>
          <w:rFonts w:eastAsia="Andale Sans UI" w:cs="Times New Roman"/>
          <w:color w:val="000000"/>
        </w:rPr>
        <w:t>ransomware</w:t>
      </w:r>
      <w:proofErr w:type="spellEnd"/>
      <w:r>
        <w:rPr>
          <w:rFonts w:eastAsia="Andale Sans UI" w:cs="Times New Roman"/>
          <w:color w:val="000000"/>
        </w:rPr>
        <w:t>. Detekcja musi być realizowana poprzez dedykowane zasoby sprzętowe przeznaczone do tego celu. Funkcjonalność musi umożliwiać powiadomienie jakiego wolumenu dotyczy wykryty atak.</w:t>
      </w:r>
    </w:p>
    <w:p w:rsidR="007334BC" w:rsidRDefault="007334BC">
      <w:pPr>
        <w:tabs>
          <w:tab w:val="left" w:pos="0"/>
          <w:tab w:val="left" w:pos="284"/>
        </w:tabs>
        <w:spacing w:line="360" w:lineRule="auto"/>
        <w:jc w:val="both"/>
        <w:rPr>
          <w:rFonts w:cs="Times New Roman"/>
        </w:rPr>
      </w:pPr>
    </w:p>
    <w:p w:rsidR="007334BC" w:rsidRDefault="00855C21">
      <w:pPr>
        <w:tabs>
          <w:tab w:val="left" w:pos="0"/>
          <w:tab w:val="left" w:pos="284"/>
        </w:tabs>
        <w:spacing w:line="360" w:lineRule="auto"/>
        <w:jc w:val="both"/>
        <w:rPr>
          <w:rFonts w:cs="Times New Roman"/>
        </w:rPr>
      </w:pPr>
      <w:r>
        <w:t xml:space="preserve">W przypadku braku informacji dotyczącej spełnienia kryterium K3 Zamawiający przyjmie, że Wykonawca oferuje macierz, która nie posiada wbudowanych mechanizmów detekcji ataków </w:t>
      </w:r>
      <w:proofErr w:type="spellStart"/>
      <w:r>
        <w:t>ransomware</w:t>
      </w:r>
      <w:proofErr w:type="spellEnd"/>
      <w:r>
        <w:t xml:space="preserve"> i przyzna 0 punktów.</w:t>
      </w:r>
    </w:p>
    <w:p w:rsidR="007334BC" w:rsidRDefault="007334BC">
      <w:pPr>
        <w:pStyle w:val="Standard"/>
        <w:tabs>
          <w:tab w:val="left" w:pos="0"/>
          <w:tab w:val="left" w:pos="284"/>
        </w:tabs>
        <w:spacing w:line="360" w:lineRule="auto"/>
        <w:ind w:firstLine="19"/>
        <w:jc w:val="both"/>
        <w:rPr>
          <w:rFonts w:eastAsia="Andale Sans UI" w:cs="Times New Roman"/>
          <w:b/>
          <w:color w:val="000000"/>
        </w:rPr>
      </w:pPr>
    </w:p>
    <w:p w:rsidR="007334BC" w:rsidRDefault="007334BC">
      <w:pPr>
        <w:pStyle w:val="Standard"/>
        <w:tabs>
          <w:tab w:val="left" w:pos="0"/>
          <w:tab w:val="left" w:pos="284"/>
        </w:tabs>
        <w:spacing w:line="360" w:lineRule="auto"/>
        <w:ind w:firstLine="19"/>
        <w:jc w:val="both"/>
        <w:rPr>
          <w:rFonts w:eastAsia="Andale Sans UI" w:cs="Times New Roman"/>
          <w:b/>
          <w:color w:val="000000"/>
        </w:rPr>
      </w:pPr>
    </w:p>
    <w:p w:rsidR="007334BC" w:rsidRDefault="00855C21">
      <w:pPr>
        <w:pStyle w:val="Standard"/>
        <w:tabs>
          <w:tab w:val="left" w:pos="355"/>
          <w:tab w:val="left" w:pos="639"/>
        </w:tabs>
        <w:spacing w:line="360" w:lineRule="auto"/>
        <w:ind w:left="355" w:hanging="336"/>
        <w:rPr>
          <w:rFonts w:eastAsia="Andale Sans UI" w:cs="Times New Roman"/>
          <w:b/>
          <w:color w:val="000000"/>
        </w:rPr>
      </w:pPr>
      <w:r>
        <w:rPr>
          <w:rFonts w:eastAsia="Andale Sans UI" w:cs="Times New Roman"/>
          <w:b/>
          <w:color w:val="000000"/>
        </w:rPr>
        <w:t>Zasady wyboru oferty i udzielenia zamówienia:</w:t>
      </w:r>
    </w:p>
    <w:p w:rsidR="007334BC" w:rsidRDefault="00855C21">
      <w:pPr>
        <w:pStyle w:val="Standard"/>
        <w:tabs>
          <w:tab w:val="left" w:pos="0"/>
          <w:tab w:val="left" w:pos="284"/>
        </w:tabs>
        <w:spacing w:line="360" w:lineRule="auto"/>
        <w:ind w:firstLine="19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>Zamawiający uzna za najkorzystniejszą ofertę Wykonawcy, który spełni warunki udziału</w:t>
      </w:r>
      <w:r>
        <w:rPr>
          <w:rFonts w:eastAsia="Andale Sans UI" w:cs="Times New Roman"/>
          <w:color w:val="000000"/>
        </w:rPr>
        <w:br/>
        <w:t xml:space="preserve">w postępowaniu, nie podlega wykluczeniu, a jego oferta nie będzie podlegać odrzuceniu oraz </w:t>
      </w:r>
      <w:r>
        <w:rPr>
          <w:rFonts w:eastAsia="Andale Sans UI" w:cs="Times New Roman"/>
          <w:color w:val="000000"/>
        </w:rPr>
        <w:lastRenderedPageBreak/>
        <w:t xml:space="preserve">otrzyma </w:t>
      </w:r>
      <w:r>
        <w:rPr>
          <w:rFonts w:eastAsia="Andale Sans UI" w:cs="Times New Roman"/>
          <w:color w:val="000000" w:themeColor="text1"/>
        </w:rPr>
        <w:t>największą</w:t>
      </w:r>
      <w:r>
        <w:rPr>
          <w:rFonts w:eastAsia="Andale Sans UI" w:cs="Times New Roman"/>
          <w:color w:val="000000"/>
        </w:rPr>
        <w:t xml:space="preserve"> liczbę punktów wyliczoną zgodnie ze </w:t>
      </w:r>
      <w:r>
        <w:rPr>
          <w:rFonts w:eastAsia="Andale Sans UI" w:cs="Times New Roman"/>
        </w:rPr>
        <w:t>wzorem.</w:t>
      </w:r>
    </w:p>
    <w:p w:rsidR="007334BC" w:rsidRDefault="007334BC">
      <w:pPr>
        <w:pStyle w:val="Standard"/>
        <w:tabs>
          <w:tab w:val="left" w:pos="0"/>
          <w:tab w:val="left" w:pos="284"/>
        </w:tabs>
        <w:spacing w:line="360" w:lineRule="auto"/>
        <w:ind w:firstLine="19"/>
        <w:rPr>
          <w:rFonts w:eastAsia="Andale Sans UI" w:cs="Times New Roman"/>
          <w:color w:val="000000"/>
        </w:rPr>
      </w:pPr>
    </w:p>
    <w:p w:rsidR="007334BC" w:rsidRDefault="00855C21">
      <w:pPr>
        <w:pStyle w:val="Standard"/>
        <w:tabs>
          <w:tab w:val="left" w:pos="0"/>
          <w:tab w:val="left" w:pos="284"/>
        </w:tabs>
        <w:spacing w:line="360" w:lineRule="auto"/>
        <w:ind w:firstLine="19"/>
        <w:rPr>
          <w:rFonts w:cs="Times New Roman"/>
        </w:rPr>
      </w:pPr>
      <w:r>
        <w:rPr>
          <w:rFonts w:eastAsia="Andale Sans UI" w:cs="Times New Roman"/>
          <w:color w:val="000000"/>
        </w:rPr>
        <w:t xml:space="preserve">K – łączna liczba punktów uzyskana w poszczególnych kryteriach. Maksymalna liczba punktów, którą może uzyskać Wykonawca wynosi </w:t>
      </w:r>
      <w:r>
        <w:rPr>
          <w:rFonts w:eastAsia="Andale Sans UI" w:cs="Times New Roman"/>
          <w:b/>
          <w:bCs/>
          <w:color w:val="000000"/>
        </w:rPr>
        <w:t>100 pkt.</w:t>
      </w:r>
    </w:p>
    <w:p w:rsidR="007334BC" w:rsidRDefault="007334BC">
      <w:pPr>
        <w:pStyle w:val="Standard"/>
        <w:tabs>
          <w:tab w:val="left" w:pos="0"/>
          <w:tab w:val="left" w:pos="284"/>
        </w:tabs>
        <w:spacing w:line="360" w:lineRule="auto"/>
        <w:ind w:firstLine="19"/>
        <w:rPr>
          <w:rFonts w:eastAsia="Andale Sans UI" w:cs="Times New Roman"/>
          <w:color w:val="000000"/>
        </w:rPr>
      </w:pPr>
    </w:p>
    <w:p w:rsidR="007334BC" w:rsidRDefault="00855C21">
      <w:pPr>
        <w:pStyle w:val="Standard"/>
        <w:tabs>
          <w:tab w:val="left" w:pos="0"/>
          <w:tab w:val="left" w:pos="284"/>
        </w:tabs>
        <w:spacing w:line="360" w:lineRule="auto"/>
        <w:ind w:firstLine="19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Sposób obliczenia łącznej liczby punktów (K) za wyżej wymienione kryteria:</w:t>
      </w:r>
    </w:p>
    <w:p w:rsidR="007334BC" w:rsidRDefault="00855C21">
      <w:pPr>
        <w:pStyle w:val="Standard"/>
        <w:tabs>
          <w:tab w:val="left" w:pos="0"/>
          <w:tab w:val="left" w:pos="284"/>
        </w:tabs>
        <w:spacing w:line="360" w:lineRule="auto"/>
        <w:ind w:firstLine="19"/>
        <w:jc w:val="center"/>
        <w:rPr>
          <w:rFonts w:cs="Times New Roman"/>
        </w:rPr>
      </w:pPr>
      <w:r>
        <w:rPr>
          <w:rFonts w:cs="Times New Roman"/>
          <w:b/>
          <w:color w:val="000000"/>
        </w:rPr>
        <w:t>K = K1 + K2 + K3</w:t>
      </w:r>
    </w:p>
    <w:sectPr w:rsidR="007334BC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, 宋体">
    <w:charset w:val="00"/>
    <w:family w:val="auto"/>
    <w:pitch w:val="variable"/>
  </w:font>
  <w:font w:name="Mangal, 'Liberation Mono'">
    <w:altName w:val="Cambria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00DC4"/>
    <w:multiLevelType w:val="multilevel"/>
    <w:tmpl w:val="ADA294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6168A3"/>
    <w:multiLevelType w:val="multilevel"/>
    <w:tmpl w:val="FB325D98"/>
    <w:lvl w:ilvl="0"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487D1579"/>
    <w:multiLevelType w:val="multilevel"/>
    <w:tmpl w:val="D8FA7B10"/>
    <w:lvl w:ilvl="0"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4D2C48E0"/>
    <w:multiLevelType w:val="multilevel"/>
    <w:tmpl w:val="1206ADD6"/>
    <w:lvl w:ilvl="0"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4BC"/>
    <w:rsid w:val="005842EE"/>
    <w:rsid w:val="007334BC"/>
    <w:rsid w:val="0085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D9946"/>
  <w15:docId w15:val="{3BB6A7F6-71B5-483B-B378-B6BEDE21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tabs>
        <w:tab w:val="left" w:pos="0"/>
      </w:tabs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Andale Sans UI" w:hAnsi="Times New Roman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bCs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eastAsia="Andale Sans UI" w:hAnsi="Symbol" w:cs="Symbol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qFormat/>
    <w:rPr>
      <w:rFonts w:ascii="Courier New" w:eastAsia="Courier New" w:hAnsi="Courier New" w:cs="Courier New"/>
    </w:rPr>
  </w:style>
  <w:style w:type="character" w:customStyle="1" w:styleId="WW8Num5z2">
    <w:name w:val="WW8Num5z2"/>
    <w:qFormat/>
    <w:rPr>
      <w:rFonts w:ascii="Wingdings" w:eastAsia="Wingdings" w:hAnsi="Wingdings" w:cs="Wingdings"/>
    </w:rPr>
  </w:style>
  <w:style w:type="character" w:customStyle="1" w:styleId="Domylnaczcionkaakapitu1">
    <w:name w:val="Domyślna czcionka akapitu1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5z0">
    <w:name w:val="WW8Num15z0"/>
    <w:qFormat/>
    <w:rPr>
      <w:b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24z0">
    <w:name w:val="WW8Num24z0"/>
    <w:qFormat/>
    <w:rPr>
      <w:rFonts w:cs="Calibri"/>
      <w:b w:val="0"/>
      <w:i w:val="0"/>
      <w:spacing w:val="-2"/>
      <w:sz w:val="24"/>
      <w:szCs w:val="24"/>
      <w:lang w:val="pl-PL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Znakinumeracjiuser">
    <w:name w:val="Znaki numeracji (user)"/>
    <w:qFormat/>
  </w:style>
  <w:style w:type="character" w:customStyle="1" w:styleId="Bullets">
    <w:name w:val="Bullets"/>
    <w:qFormat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Standard"/>
    <w:next w:val="Tekstpodstawowy"/>
    <w:qFormat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Indeksuser">
    <w:name w:val="Indeks (user)"/>
    <w:basedOn w:val="Standard"/>
    <w:qFormat/>
    <w:pPr>
      <w:suppressLineNumbers/>
    </w:pPr>
  </w:style>
  <w:style w:type="paragraph" w:customStyle="1" w:styleId="Standard">
    <w:name w:val="Standard"/>
    <w:qFormat/>
    <w:pPr>
      <w:widowControl w:val="0"/>
      <w:textAlignment w:val="baseline"/>
    </w:pPr>
    <w:rPr>
      <w:rFonts w:eastAsia="SimSun, 宋体" w:cs="Mangal, 'Liberation Mono'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Podpis1">
    <w:name w:val="Podpis1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Legenda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Standard"/>
    <w:qFormat/>
    <w:pPr>
      <w:spacing w:before="280" w:after="119"/>
    </w:pPr>
  </w:style>
  <w:style w:type="paragraph" w:customStyle="1" w:styleId="BodyText21">
    <w:name w:val="Body Text 21"/>
    <w:basedOn w:val="Standard"/>
    <w:qFormat/>
    <w:pPr>
      <w:jc w:val="both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500</Words>
  <Characters>3006</Characters>
  <Application>Microsoft Office Word</Application>
  <DocSecurity>0</DocSecurity>
  <Lines>25</Lines>
  <Paragraphs>6</Paragraphs>
  <ScaleCrop>false</ScaleCrop>
  <Company>KGP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</dc:creator>
  <dc:description/>
  <cp:lastModifiedBy>Krzysztof Kliman</cp:lastModifiedBy>
  <cp:revision>13</cp:revision>
  <cp:lastPrinted>2023-01-05T12:15:00Z</cp:lastPrinted>
  <dcterms:created xsi:type="dcterms:W3CDTF">2025-03-03T14:10:00Z</dcterms:created>
  <dcterms:modified xsi:type="dcterms:W3CDTF">2025-04-28T08:54:00Z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